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C2" w:rsidRPr="002C7845" w:rsidRDefault="00E321C2" w:rsidP="00E321C2">
      <w:pPr>
        <w:pStyle w:val="a6"/>
        <w:tabs>
          <w:tab w:val="left" w:pos="3795"/>
        </w:tabs>
        <w:jc w:val="right"/>
        <w:rPr>
          <w:b/>
        </w:rPr>
      </w:pPr>
      <w:r w:rsidRPr="002C7845">
        <w:rPr>
          <w:b/>
        </w:rPr>
        <w:t>Приложение №14</w:t>
      </w:r>
    </w:p>
    <w:p w:rsidR="00E321C2" w:rsidRPr="002C7845" w:rsidRDefault="00E321C2" w:rsidP="00E321C2">
      <w:pPr>
        <w:pStyle w:val="a6"/>
        <w:tabs>
          <w:tab w:val="left" w:pos="3795"/>
        </w:tabs>
        <w:jc w:val="right"/>
        <w:rPr>
          <w:b/>
        </w:rPr>
      </w:pPr>
      <w:r w:rsidRPr="002C7845">
        <w:rPr>
          <w:b/>
        </w:rPr>
        <w:t xml:space="preserve">к Регламенту оказания брокерских услуг </w:t>
      </w:r>
    </w:p>
    <w:p w:rsidR="00E321C2" w:rsidRPr="002C7845" w:rsidRDefault="00E321C2" w:rsidP="00E321C2">
      <w:pPr>
        <w:pStyle w:val="a6"/>
        <w:tabs>
          <w:tab w:val="left" w:pos="3795"/>
        </w:tabs>
        <w:jc w:val="right"/>
        <w:rPr>
          <w:b/>
        </w:rPr>
      </w:pPr>
      <w:r w:rsidRPr="002C7845">
        <w:rPr>
          <w:b/>
        </w:rPr>
        <w:t>ЗАО ИК «Геофинансы»</w:t>
      </w:r>
    </w:p>
    <w:p w:rsidR="0060090D" w:rsidRDefault="0060090D" w:rsidP="004E0A8B">
      <w:pPr>
        <w:pStyle w:val="Default"/>
        <w:jc w:val="center"/>
        <w:rPr>
          <w:b/>
          <w:bCs/>
          <w:sz w:val="22"/>
          <w:szCs w:val="22"/>
        </w:rPr>
      </w:pPr>
      <w:r w:rsidRPr="0060090D">
        <w:rPr>
          <w:b/>
          <w:bCs/>
          <w:sz w:val="22"/>
          <w:szCs w:val="22"/>
        </w:rPr>
        <w:t xml:space="preserve">ОСОБЕННОСТИ  </w:t>
      </w:r>
    </w:p>
    <w:p w:rsidR="004E0A8B" w:rsidRDefault="0060090D" w:rsidP="004E0A8B">
      <w:pPr>
        <w:pStyle w:val="Default"/>
        <w:jc w:val="center"/>
        <w:rPr>
          <w:b/>
          <w:bCs/>
          <w:sz w:val="22"/>
          <w:szCs w:val="22"/>
        </w:rPr>
      </w:pPr>
      <w:r w:rsidRPr="0060090D">
        <w:rPr>
          <w:b/>
          <w:bCs/>
          <w:sz w:val="22"/>
          <w:szCs w:val="22"/>
        </w:rPr>
        <w:t>использования денежных средств  клиентов в интересах Брокера/Исполняющего брокера и риски</w:t>
      </w:r>
      <w:r w:rsidR="002C7845">
        <w:rPr>
          <w:b/>
          <w:bCs/>
          <w:sz w:val="22"/>
          <w:szCs w:val="22"/>
        </w:rPr>
        <w:t>.</w:t>
      </w:r>
    </w:p>
    <w:p w:rsidR="002C7845" w:rsidRDefault="002C7845" w:rsidP="004E0A8B">
      <w:pPr>
        <w:pStyle w:val="Default"/>
        <w:jc w:val="center"/>
        <w:rPr>
          <w:b/>
          <w:bCs/>
          <w:sz w:val="22"/>
          <w:szCs w:val="22"/>
        </w:rPr>
      </w:pPr>
    </w:p>
    <w:p w:rsidR="0060090D" w:rsidRPr="0060090D" w:rsidRDefault="0060090D" w:rsidP="0060090D">
      <w:pPr>
        <w:pStyle w:val="af1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</w:pPr>
      <w:r w:rsidRPr="0060090D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>Особенности использования денежных средств  клиентов в интересах Брокера/Исполняющего брокера</w:t>
      </w:r>
    </w:p>
    <w:p w:rsidR="0060090D" w:rsidRPr="0060090D" w:rsidRDefault="0060090D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1.1.</w:t>
      </w:r>
      <w:r w:rsidRPr="0060090D">
        <w:rPr>
          <w:rFonts w:ascii="Times New Roman" w:hAnsi="Times New Roman"/>
          <w:szCs w:val="22"/>
        </w:rPr>
        <w:t xml:space="preserve">Под использованием денежных средств </w:t>
      </w:r>
      <w:r w:rsidR="001E6209">
        <w:rPr>
          <w:rFonts w:ascii="Times New Roman" w:hAnsi="Times New Roman"/>
          <w:szCs w:val="22"/>
        </w:rPr>
        <w:t xml:space="preserve"> Клиентов в интересах Б</w:t>
      </w:r>
      <w:r w:rsidRPr="0060090D">
        <w:rPr>
          <w:rFonts w:ascii="Times New Roman" w:hAnsi="Times New Roman"/>
          <w:szCs w:val="22"/>
        </w:rPr>
        <w:t>рокера</w:t>
      </w:r>
      <w:r w:rsidR="001E6209">
        <w:rPr>
          <w:rFonts w:ascii="Times New Roman" w:hAnsi="Times New Roman"/>
          <w:szCs w:val="22"/>
        </w:rPr>
        <w:t>/Исполняющего брокера</w:t>
      </w:r>
      <w:r w:rsidRPr="0060090D">
        <w:rPr>
          <w:rFonts w:ascii="Times New Roman" w:hAnsi="Times New Roman"/>
          <w:szCs w:val="22"/>
        </w:rPr>
        <w:t xml:space="preserve"> понимается использование соответствующих денежных средств  для исполнения обязательств </w:t>
      </w:r>
      <w:r w:rsidR="001E6209">
        <w:rPr>
          <w:rFonts w:ascii="Times New Roman" w:hAnsi="Times New Roman"/>
          <w:szCs w:val="22"/>
        </w:rPr>
        <w:t>из сделок, совершенных за счет Б</w:t>
      </w:r>
      <w:r w:rsidRPr="0060090D">
        <w:rPr>
          <w:rFonts w:ascii="Times New Roman" w:hAnsi="Times New Roman"/>
          <w:szCs w:val="22"/>
        </w:rPr>
        <w:t>рокера</w:t>
      </w:r>
      <w:r w:rsidR="001E6209">
        <w:rPr>
          <w:rFonts w:ascii="Times New Roman" w:hAnsi="Times New Roman"/>
          <w:szCs w:val="22"/>
        </w:rPr>
        <w:t xml:space="preserve">/Исполняющего  брокера </w:t>
      </w:r>
      <w:r w:rsidRPr="0060090D">
        <w:rPr>
          <w:rFonts w:ascii="Times New Roman" w:hAnsi="Times New Roman"/>
          <w:szCs w:val="22"/>
        </w:rPr>
        <w:t xml:space="preserve"> либо за счет других его клиентов, или использование их в качестве обеспечения указанных обязательств, либо передача их в собственность брокера или других его клиентов в результате сделки, совершенной на основании длящегося поручения клиента, в том числе содержащегося в договоре о брокерском обслуживании, без получения дополнительного подтверждения клиентом соответствующей сделки, если иное не установлено настоящим пунктом.</w:t>
      </w:r>
    </w:p>
    <w:p w:rsidR="0060090D" w:rsidRPr="0060090D" w:rsidRDefault="0060090D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1.2. </w:t>
      </w:r>
      <w:r w:rsidRPr="0060090D">
        <w:rPr>
          <w:rFonts w:ascii="Times New Roman" w:hAnsi="Times New Roman"/>
          <w:szCs w:val="22"/>
        </w:rPr>
        <w:t xml:space="preserve">Не является использованием денежных средств </w:t>
      </w:r>
      <w:r w:rsidR="001E6209">
        <w:rPr>
          <w:rFonts w:ascii="Times New Roman" w:hAnsi="Times New Roman"/>
          <w:szCs w:val="22"/>
        </w:rPr>
        <w:t xml:space="preserve"> Клиента в интересах Б</w:t>
      </w:r>
      <w:r w:rsidRPr="0060090D">
        <w:rPr>
          <w:rFonts w:ascii="Times New Roman" w:hAnsi="Times New Roman"/>
          <w:szCs w:val="22"/>
        </w:rPr>
        <w:t>рокера</w:t>
      </w:r>
      <w:r w:rsidR="001E6209">
        <w:rPr>
          <w:rFonts w:ascii="Times New Roman" w:hAnsi="Times New Roman"/>
          <w:szCs w:val="22"/>
        </w:rPr>
        <w:t>/Исполняющего брокера  их передача в собственность Б</w:t>
      </w:r>
      <w:r w:rsidRPr="0060090D">
        <w:rPr>
          <w:rFonts w:ascii="Times New Roman" w:hAnsi="Times New Roman"/>
          <w:szCs w:val="22"/>
        </w:rPr>
        <w:t>рокера или других его клиентов в результате совершения сделки для закрытия и (или) переноса позиций в соответствии с нормативными актами Банка России и (или) договором о брокерском обслуживании.</w:t>
      </w:r>
    </w:p>
    <w:p w:rsidR="0060090D" w:rsidRDefault="0060090D" w:rsidP="001E6209">
      <w:pPr>
        <w:pStyle w:val="af1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</w:pPr>
      <w:r w:rsidRP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 xml:space="preserve">Декларация о рисках, </w:t>
      </w:r>
      <w:r w:rsid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 xml:space="preserve"> </w:t>
      </w:r>
      <w:r w:rsidRP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 xml:space="preserve">связанных с использованием денежных средств </w:t>
      </w:r>
      <w:r w:rsid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>Клиента в интересах Б</w:t>
      </w:r>
      <w:r w:rsidRP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>рокера</w:t>
      </w:r>
      <w:r w:rsidR="001E6209">
        <w:rPr>
          <w:rFonts w:ascii="Times New Roman" w:eastAsiaTheme="minorHAnsi" w:hAnsi="Times New Roman"/>
          <w:b/>
          <w:bCs/>
          <w:color w:val="000000"/>
          <w:szCs w:val="22"/>
          <w:lang w:eastAsia="en-US"/>
        </w:rPr>
        <w:t>/Исполняющего брокера.</w:t>
      </w:r>
    </w:p>
    <w:p w:rsidR="0060090D" w:rsidRPr="001E6209" w:rsidRDefault="001E6209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2.1.</w:t>
      </w:r>
      <w:r w:rsidR="0060090D" w:rsidRPr="001E6209">
        <w:rPr>
          <w:rFonts w:ascii="Times New Roman" w:hAnsi="Times New Roman"/>
          <w:szCs w:val="22"/>
        </w:rPr>
        <w:t xml:space="preserve">Законодательство требует хранить денежные средства, переданные вами </w:t>
      </w:r>
      <w:r>
        <w:rPr>
          <w:rFonts w:ascii="Times New Roman" w:hAnsi="Times New Roman"/>
          <w:szCs w:val="22"/>
        </w:rPr>
        <w:t xml:space="preserve"> Б</w:t>
      </w:r>
      <w:r w:rsidR="0060090D" w:rsidRPr="001E6209">
        <w:rPr>
          <w:rFonts w:ascii="Times New Roman" w:hAnsi="Times New Roman"/>
          <w:szCs w:val="22"/>
        </w:rPr>
        <w:t xml:space="preserve">рокеру, а также денежные средства, полученные </w:t>
      </w:r>
      <w:r>
        <w:rPr>
          <w:rFonts w:ascii="Times New Roman" w:hAnsi="Times New Roman"/>
          <w:szCs w:val="22"/>
        </w:rPr>
        <w:t>Б</w:t>
      </w:r>
      <w:r w:rsidR="0060090D" w:rsidRPr="001E6209">
        <w:rPr>
          <w:rFonts w:ascii="Times New Roman" w:hAnsi="Times New Roman"/>
          <w:szCs w:val="22"/>
        </w:rPr>
        <w:t xml:space="preserve">рокером в результате совершения вами торговых операций, на специальном брокерском счете, отдельном от </w:t>
      </w:r>
      <w:r>
        <w:rPr>
          <w:rFonts w:ascii="Times New Roman" w:hAnsi="Times New Roman"/>
          <w:szCs w:val="22"/>
        </w:rPr>
        <w:t>собственного банковского счета Б</w:t>
      </w:r>
      <w:r w:rsidR="0060090D" w:rsidRPr="001E6209">
        <w:rPr>
          <w:rFonts w:ascii="Times New Roman" w:hAnsi="Times New Roman"/>
          <w:szCs w:val="22"/>
        </w:rPr>
        <w:t>рокера, что исключает риск обращения на них взыскания по обязательствам брокера.</w:t>
      </w:r>
    </w:p>
    <w:p w:rsidR="0060090D" w:rsidRPr="001E6209" w:rsidRDefault="001E6209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2.2.</w:t>
      </w:r>
      <w:r w:rsidR="0060090D" w:rsidRPr="001E6209">
        <w:rPr>
          <w:rFonts w:ascii="Times New Roman" w:hAnsi="Times New Roman"/>
          <w:szCs w:val="22"/>
        </w:rPr>
        <w:t xml:space="preserve">Ваши денежные средства будут находиться на специальном брокерском счете вместе со средствами других клиентов, что создает риск обращения на них взыскания по обязательствам других клиентов. Для исключения указанного риска вы </w:t>
      </w:r>
      <w:r w:rsidR="00E26C41">
        <w:rPr>
          <w:rFonts w:ascii="Times New Roman" w:hAnsi="Times New Roman"/>
          <w:szCs w:val="22"/>
        </w:rPr>
        <w:t>можете потребовать от Б</w:t>
      </w:r>
      <w:r w:rsidR="0060090D" w:rsidRPr="001E6209">
        <w:rPr>
          <w:rFonts w:ascii="Times New Roman" w:hAnsi="Times New Roman"/>
          <w:szCs w:val="22"/>
        </w:rPr>
        <w:t>рокера хранить ваши денежные средства на отдельном специальном брокерском счете, не объединяя их с денежными средствами других клиентов. В случае хранения ваших денежных средств на отдельно</w:t>
      </w:r>
      <w:r w:rsidR="00E26C41">
        <w:rPr>
          <w:rFonts w:ascii="Times New Roman" w:hAnsi="Times New Roman"/>
          <w:szCs w:val="22"/>
        </w:rPr>
        <w:t>м специальном брокерском счете Б</w:t>
      </w:r>
      <w:r w:rsidR="0060090D" w:rsidRPr="001E6209">
        <w:rPr>
          <w:rFonts w:ascii="Times New Roman" w:hAnsi="Times New Roman"/>
          <w:szCs w:val="22"/>
        </w:rPr>
        <w:t xml:space="preserve">рокер может взимать дополнительное вознаграждение в порядке и на условиях, установленных договором о брокерском обслуживании. </w:t>
      </w:r>
    </w:p>
    <w:p w:rsidR="0060090D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2.3. </w:t>
      </w:r>
      <w:r w:rsidR="0060090D" w:rsidRPr="001E6209">
        <w:rPr>
          <w:rFonts w:ascii="Times New Roman" w:hAnsi="Times New Roman"/>
          <w:szCs w:val="22"/>
        </w:rPr>
        <w:t>Брокер обязан исполнить ваше требование о возврате денежных средств, включая иностранную валюту, со специального брокерского счета в сроки, предусмотренные договором о брокерском обслуживании, но не позднее рабочего дня, следующего за днем получения такого требования. При этом брокер вправе удержать из возвращаемых денежных средств свое вознаграждение и иные средства, которую вы обязаны уплатить брокеру на основании договора о брокерском обслуживании или иного договора, заключенного с брокером.</w:t>
      </w:r>
    </w:p>
    <w:p w:rsidR="00E26C41" w:rsidRPr="001E6209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Если Брокер привлекает Исполняющего брокера, то требование о возврате денежных средств исполняется не позднее третьего рабочего дня, следующего за днем получения такого требования.</w:t>
      </w:r>
    </w:p>
    <w:p w:rsidR="0060090D" w:rsidRPr="001E6209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2.4. </w:t>
      </w:r>
      <w:r w:rsidR="0060090D" w:rsidRPr="001E6209">
        <w:rPr>
          <w:rFonts w:ascii="Times New Roman" w:hAnsi="Times New Roman"/>
          <w:szCs w:val="22"/>
        </w:rPr>
        <w:t>Если договор о брокерс</w:t>
      </w:r>
      <w:r>
        <w:rPr>
          <w:rFonts w:ascii="Times New Roman" w:hAnsi="Times New Roman"/>
          <w:szCs w:val="22"/>
        </w:rPr>
        <w:t>ком обслуживании предоставляет Б</w:t>
      </w:r>
      <w:r w:rsidR="0060090D" w:rsidRPr="001E6209">
        <w:rPr>
          <w:rFonts w:ascii="Times New Roman" w:hAnsi="Times New Roman"/>
          <w:szCs w:val="22"/>
        </w:rPr>
        <w:t>рокеру право использовать ваши денежные средства в своих интересах, он может зачислять их на свой собственный банковский счет, а также использовать их для исполнения обязательств из сделок, совершенных за свой собственный счет или за счет других его клиентов, либо использовать их в качестве обеспечения указанных обязательств.</w:t>
      </w:r>
    </w:p>
    <w:p w:rsidR="0060090D" w:rsidRPr="001E6209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2.5 </w:t>
      </w:r>
      <w:r w:rsidR="0060090D" w:rsidRPr="001E6209">
        <w:rPr>
          <w:rFonts w:ascii="Times New Roman" w:hAnsi="Times New Roman"/>
          <w:szCs w:val="22"/>
        </w:rPr>
        <w:t>Используя ваши денежные сре</w:t>
      </w:r>
      <w:r>
        <w:rPr>
          <w:rFonts w:ascii="Times New Roman" w:hAnsi="Times New Roman"/>
          <w:szCs w:val="22"/>
        </w:rPr>
        <w:t>дства в своих интересах Б</w:t>
      </w:r>
      <w:r w:rsidR="0060090D" w:rsidRPr="001E6209">
        <w:rPr>
          <w:rFonts w:ascii="Times New Roman" w:hAnsi="Times New Roman"/>
          <w:szCs w:val="22"/>
        </w:rPr>
        <w:t xml:space="preserve">рокер должен гарантировать вам исполнение ваших поручений за счет указанных денежных средств или их возврат по вашему требованию. </w:t>
      </w:r>
    </w:p>
    <w:p w:rsidR="0060090D" w:rsidRPr="001E6209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2.6 </w:t>
      </w:r>
      <w:r w:rsidR="0060090D" w:rsidRPr="001E6209">
        <w:rPr>
          <w:rFonts w:ascii="Times New Roman" w:hAnsi="Times New Roman"/>
          <w:szCs w:val="22"/>
        </w:rPr>
        <w:t>Внимательно ознакомьтесь с проектом договора для того, чтобы оценить, какие полномочия по использованию ваших де</w:t>
      </w:r>
      <w:r>
        <w:rPr>
          <w:rFonts w:ascii="Times New Roman" w:hAnsi="Times New Roman"/>
          <w:szCs w:val="22"/>
        </w:rPr>
        <w:t>нежных средств будет иметь ваш Б</w:t>
      </w:r>
      <w:r w:rsidR="0060090D" w:rsidRPr="001E6209">
        <w:rPr>
          <w:rFonts w:ascii="Times New Roman" w:hAnsi="Times New Roman"/>
          <w:szCs w:val="22"/>
        </w:rPr>
        <w:t>рокер, каковы правила их хранения, а также возврата.</w:t>
      </w:r>
    </w:p>
    <w:p w:rsidR="0060090D" w:rsidRDefault="00E26C41" w:rsidP="001E6209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2.7 В случае нарушения Б</w:t>
      </w:r>
      <w:r w:rsidR="0060090D" w:rsidRPr="001E6209">
        <w:rPr>
          <w:rFonts w:ascii="Times New Roman" w:hAnsi="Times New Roman"/>
          <w:szCs w:val="22"/>
        </w:rPr>
        <w:t>рокером порядка хранения и использования ваших денежных средств вы можете обратиться с жалобой в Центральный Банк Российской Федерации, являющийся государственным регулятором отношений в сфере финансового рынка.</w:t>
      </w:r>
    </w:p>
    <w:tbl>
      <w:tblPr>
        <w:tblW w:w="9960" w:type="dxa"/>
        <w:tblInd w:w="108" w:type="dxa"/>
        <w:tblLayout w:type="fixed"/>
        <w:tblLook w:val="0000"/>
      </w:tblPr>
      <w:tblGrid>
        <w:gridCol w:w="5160"/>
        <w:gridCol w:w="4800"/>
      </w:tblGrid>
      <w:tr w:rsidR="002C7845" w:rsidTr="00B651C8">
        <w:tc>
          <w:tcPr>
            <w:tcW w:w="5160" w:type="dxa"/>
          </w:tcPr>
          <w:p w:rsidR="002C7845" w:rsidRDefault="002C7845" w:rsidP="00B651C8">
            <w:pPr>
              <w:rPr>
                <w:b/>
                <w:bCs/>
              </w:rPr>
            </w:pPr>
            <w:r>
              <w:rPr>
                <w:b/>
                <w:bCs/>
              </w:rPr>
              <w:t>Клиент</w:t>
            </w:r>
          </w:p>
        </w:tc>
        <w:tc>
          <w:tcPr>
            <w:tcW w:w="4800" w:type="dxa"/>
          </w:tcPr>
          <w:p w:rsidR="002C7845" w:rsidRDefault="002C7845" w:rsidP="00B651C8">
            <w:pPr>
              <w:rPr>
                <w:bCs/>
              </w:rPr>
            </w:pPr>
            <w:r>
              <w:rPr>
                <w:b/>
                <w:bCs/>
              </w:rPr>
              <w:t>Брокер</w:t>
            </w:r>
          </w:p>
        </w:tc>
      </w:tr>
      <w:tr w:rsidR="002C7845" w:rsidTr="002C7845">
        <w:trPr>
          <w:trHeight w:val="781"/>
        </w:trPr>
        <w:tc>
          <w:tcPr>
            <w:tcW w:w="5160" w:type="dxa"/>
          </w:tcPr>
          <w:p w:rsidR="002C7845" w:rsidRDefault="002C7845" w:rsidP="00B651C8">
            <w:pPr>
              <w:jc w:val="both"/>
            </w:pPr>
            <w:r>
              <w:t>______________________/_______________/</w:t>
            </w:r>
          </w:p>
          <w:p w:rsidR="002C7845" w:rsidRDefault="002C7845" w:rsidP="00B651C8">
            <w:pPr>
              <w:pStyle w:val="wfxRecipient"/>
              <w:autoSpaceDE/>
              <w:autoSpaceDN/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2C784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</w:t>
            </w:r>
            <w:r w:rsidRPr="002C7845">
              <w:rPr>
                <w:b/>
                <w:bCs/>
                <w:sz w:val="18"/>
              </w:rPr>
              <w:t>МП</w:t>
            </w:r>
          </w:p>
        </w:tc>
        <w:tc>
          <w:tcPr>
            <w:tcW w:w="4800" w:type="dxa"/>
          </w:tcPr>
          <w:p w:rsidR="002C7845" w:rsidRDefault="002C7845" w:rsidP="00B651C8">
            <w:pPr>
              <w:jc w:val="both"/>
            </w:pPr>
            <w:r>
              <w:t>______________________/_______________./</w:t>
            </w:r>
          </w:p>
          <w:p w:rsidR="002C7845" w:rsidRPr="00A90559" w:rsidRDefault="002C7845" w:rsidP="002C7845">
            <w:pPr>
              <w:jc w:val="center"/>
            </w:pPr>
            <w:r w:rsidRPr="002C7845">
              <w:rPr>
                <w:b/>
                <w:bCs/>
                <w:sz w:val="20"/>
              </w:rPr>
              <w:t xml:space="preserve">МП   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2C7845" w:rsidRPr="001E6209" w:rsidRDefault="002C7845" w:rsidP="002C7845">
      <w:pPr>
        <w:spacing w:after="0" w:line="240" w:lineRule="auto"/>
        <w:ind w:firstLine="544"/>
        <w:jc w:val="both"/>
        <w:rPr>
          <w:rFonts w:ascii="Times New Roman" w:hAnsi="Times New Roman"/>
          <w:szCs w:val="22"/>
        </w:rPr>
      </w:pPr>
    </w:p>
    <w:sectPr w:rsidR="002C7845" w:rsidRPr="001E6209" w:rsidSect="002C78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4B" w:rsidRDefault="004D6F4B" w:rsidP="006C72B1">
      <w:pPr>
        <w:spacing w:after="0" w:line="240" w:lineRule="auto"/>
      </w:pPr>
      <w:r>
        <w:separator/>
      </w:r>
    </w:p>
  </w:endnote>
  <w:endnote w:type="continuationSeparator" w:id="1">
    <w:p w:rsidR="004D6F4B" w:rsidRDefault="004D6F4B" w:rsidP="006C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4B" w:rsidRDefault="004D6F4B" w:rsidP="006C72B1">
      <w:pPr>
        <w:spacing w:after="0" w:line="240" w:lineRule="auto"/>
      </w:pPr>
      <w:r>
        <w:separator/>
      </w:r>
    </w:p>
  </w:footnote>
  <w:footnote w:type="continuationSeparator" w:id="1">
    <w:p w:rsidR="004D6F4B" w:rsidRDefault="004D6F4B" w:rsidP="006C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B4178"/>
    <w:multiLevelType w:val="hybridMultilevel"/>
    <w:tmpl w:val="C316E6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6E622"/>
    <w:multiLevelType w:val="hybridMultilevel"/>
    <w:tmpl w:val="549CA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254C3B"/>
    <w:multiLevelType w:val="hybridMultilevel"/>
    <w:tmpl w:val="9ABAD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93908C"/>
    <w:multiLevelType w:val="hybridMultilevel"/>
    <w:tmpl w:val="49164F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549198"/>
    <w:multiLevelType w:val="hybridMultilevel"/>
    <w:tmpl w:val="AA9D4D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1665E85"/>
    <w:multiLevelType w:val="multilevel"/>
    <w:tmpl w:val="E97A83B4"/>
    <w:lvl w:ilvl="0">
      <w:start w:val="1"/>
      <w:numFmt w:val="decimal"/>
      <w:lvlText w:val="%1."/>
      <w:lvlJc w:val="left"/>
      <w:pPr>
        <w:ind w:left="1312" w:hanging="76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4"/>
      </w:rPr>
    </w:lvl>
  </w:abstractNum>
  <w:abstractNum w:abstractNumId="6">
    <w:nsid w:val="317344A2"/>
    <w:multiLevelType w:val="multilevel"/>
    <w:tmpl w:val="E510452A"/>
    <w:lvl w:ilvl="0">
      <w:start w:val="1"/>
      <w:numFmt w:val="decimal"/>
      <w:pStyle w:val="AvtorHead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</w:abstractNum>
  <w:abstractNum w:abstractNumId="7">
    <w:nsid w:val="386465A8"/>
    <w:multiLevelType w:val="hybridMultilevel"/>
    <w:tmpl w:val="0C30C4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D8FD98"/>
    <w:multiLevelType w:val="hybridMultilevel"/>
    <w:tmpl w:val="D2A06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146C9F"/>
    <w:multiLevelType w:val="hybridMultilevel"/>
    <w:tmpl w:val="179B6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1546A0"/>
    <w:multiLevelType w:val="hybridMultilevel"/>
    <w:tmpl w:val="C94A31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A3F871"/>
    <w:multiLevelType w:val="hybridMultilevel"/>
    <w:tmpl w:val="C92B7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0FFC3A"/>
    <w:multiLevelType w:val="hybridMultilevel"/>
    <w:tmpl w:val="438F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E471C84"/>
    <w:multiLevelType w:val="multilevel"/>
    <w:tmpl w:val="1AAEE1DE"/>
    <w:lvl w:ilvl="0">
      <w:start w:val="4"/>
      <w:numFmt w:val="bullet"/>
      <w:lvlText w:val=""/>
      <w:lvlJc w:val="left"/>
      <w:pPr>
        <w:ind w:left="90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68559C19"/>
    <w:multiLevelType w:val="hybridMultilevel"/>
    <w:tmpl w:val="B3A318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9386325"/>
    <w:multiLevelType w:val="hybridMultilevel"/>
    <w:tmpl w:val="40A182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A5998A5"/>
    <w:multiLevelType w:val="hybridMultilevel"/>
    <w:tmpl w:val="853FA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42"/>
    <w:rsid w:val="0000681D"/>
    <w:rsid w:val="00156198"/>
    <w:rsid w:val="001E0020"/>
    <w:rsid w:val="001E3C89"/>
    <w:rsid w:val="001E6209"/>
    <w:rsid w:val="0028509D"/>
    <w:rsid w:val="002C7845"/>
    <w:rsid w:val="004D51C5"/>
    <w:rsid w:val="004D6F4B"/>
    <w:rsid w:val="004E0A8B"/>
    <w:rsid w:val="005B76EA"/>
    <w:rsid w:val="005C6F06"/>
    <w:rsid w:val="005D47F7"/>
    <w:rsid w:val="005F1717"/>
    <w:rsid w:val="0060090D"/>
    <w:rsid w:val="006C72B1"/>
    <w:rsid w:val="00813085"/>
    <w:rsid w:val="00824C98"/>
    <w:rsid w:val="00875EB6"/>
    <w:rsid w:val="009F354B"/>
    <w:rsid w:val="00B532A7"/>
    <w:rsid w:val="00B57F9B"/>
    <w:rsid w:val="00B74B42"/>
    <w:rsid w:val="00D506A1"/>
    <w:rsid w:val="00D87F36"/>
    <w:rsid w:val="00E23FEE"/>
    <w:rsid w:val="00E26C41"/>
    <w:rsid w:val="00E31A85"/>
    <w:rsid w:val="00E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0D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vtorHeader">
    <w:name w:val="Avtor Header"/>
    <w:autoRedefine/>
    <w:rsid w:val="00B74B42"/>
    <w:pPr>
      <w:numPr>
        <w:numId w:val="15"/>
      </w:numPr>
      <w:spacing w:before="120" w:after="120" w:line="240" w:lineRule="auto"/>
      <w:jc w:val="center"/>
    </w:pPr>
    <w:rPr>
      <w:rFonts w:ascii="Times New Roman" w:eastAsia="Courier New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B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B42"/>
  </w:style>
  <w:style w:type="paragraph" w:styleId="a5">
    <w:name w:val="Normal (Web)"/>
    <w:basedOn w:val="a"/>
    <w:uiPriority w:val="99"/>
    <w:semiHidden/>
    <w:unhideWhenUsed/>
    <w:rsid w:val="0087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2B1"/>
  </w:style>
  <w:style w:type="paragraph" w:styleId="a8">
    <w:name w:val="footer"/>
    <w:basedOn w:val="a"/>
    <w:link w:val="a9"/>
    <w:uiPriority w:val="99"/>
    <w:semiHidden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2B1"/>
  </w:style>
  <w:style w:type="paragraph" w:styleId="aa">
    <w:name w:val="Balloon Text"/>
    <w:basedOn w:val="a"/>
    <w:link w:val="ab"/>
    <w:uiPriority w:val="99"/>
    <w:semiHidden/>
    <w:unhideWhenUsed/>
    <w:rsid w:val="006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B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002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1E00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0020"/>
    <w:pPr>
      <w:widowControl w:val="0"/>
      <w:shd w:val="clear" w:color="auto" w:fill="FFFFFF"/>
      <w:spacing w:before="60" w:after="720" w:line="523" w:lineRule="exact"/>
      <w:ind w:hanging="1480"/>
    </w:pPr>
    <w:rPr>
      <w:rFonts w:ascii="Times New Roman" w:hAnsi="Times New Roman"/>
      <w:b/>
      <w:bCs/>
      <w:i/>
      <w:iCs/>
    </w:rPr>
  </w:style>
  <w:style w:type="character" w:customStyle="1" w:styleId="22">
    <w:name w:val="Сноска (2)_"/>
    <w:basedOn w:val="a0"/>
    <w:link w:val="23"/>
    <w:rsid w:val="001E002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">
    <w:name w:val="Сноска (3)_"/>
    <w:basedOn w:val="a0"/>
    <w:link w:val="30"/>
    <w:rsid w:val="001E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Сноска_"/>
    <w:basedOn w:val="a0"/>
    <w:link w:val="ad"/>
    <w:rsid w:val="001E00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1E0020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30">
    <w:name w:val="Сноска (3)"/>
    <w:basedOn w:val="a"/>
    <w:link w:val="3"/>
    <w:rsid w:val="001E0020"/>
    <w:pPr>
      <w:widowControl w:val="0"/>
      <w:shd w:val="clear" w:color="auto" w:fill="FFFFFF"/>
      <w:spacing w:before="180" w:after="0" w:line="389" w:lineRule="exact"/>
    </w:pPr>
    <w:rPr>
      <w:rFonts w:ascii="Times New Roman" w:hAnsi="Times New Roman"/>
    </w:rPr>
  </w:style>
  <w:style w:type="paragraph" w:customStyle="1" w:styleId="ad">
    <w:name w:val="Сноска"/>
    <w:basedOn w:val="a"/>
    <w:link w:val="ac"/>
    <w:rsid w:val="001E0020"/>
    <w:pPr>
      <w:widowControl w:val="0"/>
      <w:shd w:val="clear" w:color="auto" w:fill="FFFFFF"/>
      <w:spacing w:before="180" w:after="780" w:line="0" w:lineRule="atLeast"/>
    </w:pPr>
    <w:rPr>
      <w:rFonts w:ascii="Times New Roman" w:hAnsi="Times New Roman"/>
      <w:sz w:val="20"/>
    </w:rPr>
  </w:style>
  <w:style w:type="character" w:customStyle="1" w:styleId="5">
    <w:name w:val="Основной текст (5)_"/>
    <w:basedOn w:val="a0"/>
    <w:link w:val="50"/>
    <w:rsid w:val="001E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002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020"/>
    <w:pPr>
      <w:widowControl w:val="0"/>
      <w:shd w:val="clear" w:color="auto" w:fill="FFFFFF"/>
      <w:spacing w:before="720" w:after="180" w:line="0" w:lineRule="atLeast"/>
    </w:pPr>
    <w:rPr>
      <w:rFonts w:ascii="Times New Roman" w:hAnsi="Times New Roman"/>
    </w:rPr>
  </w:style>
  <w:style w:type="paragraph" w:customStyle="1" w:styleId="60">
    <w:name w:val="Основной текст (6)"/>
    <w:basedOn w:val="a"/>
    <w:link w:val="6"/>
    <w:rsid w:val="001E0020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i/>
      <w:iCs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0020"/>
    <w:pPr>
      <w:spacing w:after="0" w:line="240" w:lineRule="auto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E00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0020"/>
    <w:rPr>
      <w:vertAlign w:val="superscript"/>
    </w:rPr>
  </w:style>
  <w:style w:type="paragraph" w:customStyle="1" w:styleId="1">
    <w:name w:val="Абзац списка1"/>
    <w:basedOn w:val="a"/>
    <w:rsid w:val="0060090D"/>
    <w:pPr>
      <w:ind w:left="720"/>
    </w:pPr>
  </w:style>
  <w:style w:type="paragraph" w:styleId="af1">
    <w:name w:val="List Paragraph"/>
    <w:basedOn w:val="a"/>
    <w:uiPriority w:val="34"/>
    <w:qFormat/>
    <w:rsid w:val="0060090D"/>
    <w:pPr>
      <w:ind w:left="720"/>
      <w:contextualSpacing/>
    </w:pPr>
  </w:style>
  <w:style w:type="paragraph" w:customStyle="1" w:styleId="wfxRecipient">
    <w:name w:val="wfxRecipient"/>
    <w:basedOn w:val="a"/>
    <w:rsid w:val="002C7845"/>
    <w:pPr>
      <w:autoSpaceDE w:val="0"/>
      <w:autoSpaceDN w:val="0"/>
      <w:spacing w:after="0" w:line="300" w:lineRule="exact"/>
      <w:jc w:val="both"/>
    </w:pPr>
    <w:rPr>
      <w:rFonts w:ascii="AGOpus" w:hAnsi="AGOpus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F3FD-6B96-4936-AB3E-FE8FD942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2016-12-20T18:01:00Z</cp:lastPrinted>
  <dcterms:created xsi:type="dcterms:W3CDTF">2016-11-25T10:36:00Z</dcterms:created>
  <dcterms:modified xsi:type="dcterms:W3CDTF">2016-12-20T18:07:00Z</dcterms:modified>
</cp:coreProperties>
</file>