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nformat"/>
        <w:widowControl/>
      </w:pPr>
      <w:r>
        <w:t xml:space="preserve">                                  РАСЧЕТ</w:t>
      </w:r>
    </w:p>
    <w:p w:rsidR="001B1726" w:rsidRDefault="001B1726" w:rsidP="001B1726">
      <w:pPr>
        <w:pStyle w:val="ConsPlusNonformat"/>
        <w:widowControl/>
      </w:pPr>
      <w:r>
        <w:t xml:space="preserve">                        размера собственных средств</w:t>
      </w:r>
    </w:p>
    <w:p w:rsidR="001B1726" w:rsidRDefault="001B1726" w:rsidP="001B1726">
      <w:pPr>
        <w:pStyle w:val="ConsPlusNonformat"/>
        <w:widowControl/>
      </w:pPr>
      <w:r>
        <w:t xml:space="preserve">                             на </w:t>
      </w:r>
      <w:r w:rsidR="00EA63A4">
        <w:rPr>
          <w:b/>
          <w:sz w:val="24"/>
          <w:szCs w:val="24"/>
          <w:lang w:val="en-US"/>
        </w:rPr>
        <w:t>31</w:t>
      </w:r>
      <w:r w:rsidRPr="00ED4754">
        <w:rPr>
          <w:b/>
          <w:sz w:val="24"/>
          <w:szCs w:val="24"/>
        </w:rPr>
        <w:t xml:space="preserve"> ию</w:t>
      </w:r>
      <w:r w:rsidR="00EA63A4">
        <w:rPr>
          <w:b/>
          <w:sz w:val="24"/>
          <w:szCs w:val="24"/>
        </w:rPr>
        <w:t>л</w:t>
      </w:r>
      <w:r w:rsidRPr="00ED4754">
        <w:rPr>
          <w:b/>
          <w:sz w:val="24"/>
          <w:szCs w:val="24"/>
        </w:rPr>
        <w:t>я 2009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proofErr w:type="spellStart"/>
            <w:r>
              <w:t>Внеоборотные</w:t>
            </w:r>
            <w:proofErr w:type="spellEnd"/>
            <w:r>
              <w:t xml:space="preserve">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7300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7300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7300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7300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3200395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3200395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7837620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3918810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</w:t>
            </w:r>
            <w:proofErr w:type="spellStart"/>
            <w:r>
              <w:t>аффилированных</w:t>
            </w:r>
            <w:proofErr w:type="spellEnd"/>
            <w:r>
              <w:t xml:space="preserve">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</w:t>
            </w:r>
            <w:proofErr w:type="spellStart"/>
            <w:r>
              <w:t>аффилированных</w:t>
            </w:r>
            <w:proofErr w:type="spellEnd"/>
            <w:r>
              <w:t xml:space="preserve">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</w:t>
            </w:r>
            <w:proofErr w:type="spellStart"/>
            <w:r>
              <w:t>аффилированных</w:t>
            </w:r>
            <w:proofErr w:type="spellEnd"/>
            <w:r>
              <w:t xml:space="preserve">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11038015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7119205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</w:t>
            </w:r>
            <w:proofErr w:type="spellStart"/>
            <w:r>
              <w:t>аффилированным</w:t>
            </w:r>
            <w:proofErr w:type="spellEnd"/>
            <w:r>
              <w:t xml:space="preserve">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>по перечислению денежных сре</w:t>
            </w:r>
            <w:proofErr w:type="gramStart"/>
            <w:r>
              <w:t xml:space="preserve">дств в   </w:t>
            </w:r>
            <w:r>
              <w:br/>
              <w:t>сч</w:t>
            </w:r>
            <w:proofErr w:type="gramEnd"/>
            <w:r>
              <w:t xml:space="preserve">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11560386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11560386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>собственных денежных сре</w:t>
            </w:r>
            <w:proofErr w:type="gramStart"/>
            <w:r>
              <w:t>дств дл</w:t>
            </w:r>
            <w:proofErr w:type="gramEnd"/>
            <w:r>
              <w:t xml:space="preserve">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235000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23500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11795386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11583886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11070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11070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20235461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8396000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217000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8613000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11622461</w:t>
            </w:r>
          </w:p>
        </w:tc>
      </w:tr>
    </w:tbl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</w:t>
      </w:r>
      <w:proofErr w:type="spellStart"/>
      <w:r>
        <w:t>Дергунова</w:t>
      </w:r>
      <w:proofErr w:type="spellEnd"/>
      <w:r>
        <w:t xml:space="preserve"> </w:t>
      </w:r>
      <w:r w:rsidR="001B1726">
        <w:t>/</w:t>
      </w:r>
    </w:p>
    <w:p w:rsidR="001B1726" w:rsidRDefault="001B1726" w:rsidP="001B1726">
      <w:pPr>
        <w:pStyle w:val="ConsPlusNonformat"/>
        <w:widowControl/>
      </w:pPr>
    </w:p>
    <w:p w:rsidR="00ED4754" w:rsidRDefault="00ED4754" w:rsidP="001B1726">
      <w:pPr>
        <w:pStyle w:val="ConsPlusNonformat"/>
        <w:widowControl/>
      </w:pPr>
      <w:r>
        <w:t>Генеральный директор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   </w:t>
      </w:r>
      <w:r w:rsidR="001B1726">
        <w:t xml:space="preserve">              /Подпись/       /</w:t>
      </w:r>
      <w:r>
        <w:t>А.И.Королев</w:t>
      </w:r>
      <w:r w:rsidR="001B1726">
        <w:t>/</w:t>
      </w: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710" w:rsidRDefault="00F72710" w:rsidP="001B1726">
      <w:r>
        <w:separator/>
      </w:r>
    </w:p>
  </w:endnote>
  <w:endnote w:type="continuationSeparator" w:id="0">
    <w:p w:rsidR="00F72710" w:rsidRDefault="00F72710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34567C">
        <w:pPr>
          <w:pStyle w:val="a5"/>
        </w:pPr>
        <w:fldSimple w:instr=" PAGE   \* MERGEFORMAT ">
          <w:r w:rsidR="00C74E3A">
            <w:rPr>
              <w:noProof/>
            </w:rPr>
            <w:t>1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710" w:rsidRDefault="00F72710" w:rsidP="001B1726">
      <w:r>
        <w:separator/>
      </w:r>
    </w:p>
  </w:footnote>
  <w:footnote w:type="continuationSeparator" w:id="0">
    <w:p w:rsidR="00F72710" w:rsidRDefault="00F72710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1B1726"/>
    <w:rsid w:val="0034567C"/>
    <w:rsid w:val="004E6249"/>
    <w:rsid w:val="0062265E"/>
    <w:rsid w:val="00C74E3A"/>
    <w:rsid w:val="00EA63A4"/>
    <w:rsid w:val="00ED4754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2009-08-27T06:25:00Z</cp:lastPrinted>
  <dcterms:created xsi:type="dcterms:W3CDTF">2009-08-27T07:02:00Z</dcterms:created>
  <dcterms:modified xsi:type="dcterms:W3CDTF">2009-08-27T07:02:00Z</dcterms:modified>
</cp:coreProperties>
</file>